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F344F3">
        <w:rPr>
          <w:sz w:val="28"/>
          <w:szCs w:val="28"/>
        </w:rPr>
        <w:t>9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F344F3">
        <w:rPr>
          <w:sz w:val="28"/>
          <w:szCs w:val="28"/>
        </w:rPr>
        <w:t>9</w:t>
      </w:r>
      <w:bookmarkStart w:id="0" w:name="_GoBack"/>
      <w:bookmarkEnd w:id="0"/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2F59C7">
      <w:pPr>
        <w:contextualSpacing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E617E2">
        <w:rPr>
          <w:sz w:val="28"/>
          <w:szCs w:val="28"/>
        </w:rPr>
        <w:t>Медведевой Л.А. (далее – Заявитель</w:t>
      </w:r>
      <w:r w:rsidR="00E617E2" w:rsidRPr="00B05FF9">
        <w:rPr>
          <w:sz w:val="28"/>
          <w:szCs w:val="28"/>
        </w:rPr>
        <w:t>;</w:t>
      </w:r>
      <w:r w:rsidR="00E617E2">
        <w:rPr>
          <w:sz w:val="28"/>
          <w:szCs w:val="28"/>
        </w:rPr>
        <w:t xml:space="preserve"> 344000, г. Ростов – на – Дону, ул. Ленина, 42ж/12г кв. 35)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</w:t>
      </w:r>
      <w:r w:rsidR="00E617E2">
        <w:rPr>
          <w:sz w:val="28"/>
          <w:szCs w:val="28"/>
        </w:rPr>
        <w:t>ее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431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E617E2">
        <w:rPr>
          <w:sz w:val="28"/>
          <w:szCs w:val="28"/>
        </w:rPr>
        <w:t>Медведевой Л.А.</w:t>
      </w:r>
      <w:r w:rsidR="0043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</w:t>
      </w:r>
      <w:r w:rsidR="00E617E2">
        <w:rPr>
          <w:sz w:val="28"/>
          <w:szCs w:val="28"/>
        </w:rPr>
        <w:t>от 28.11.2013г. № 2472/13/2558/РГЭС</w:t>
      </w:r>
      <w:r w:rsidR="006E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 w:rsidR="00BF1203">
        <w:rPr>
          <w:sz w:val="28"/>
          <w:szCs w:val="28"/>
        </w:rPr>
        <w:t xml:space="preserve">г. Ростов – на – Дону, </w:t>
      </w:r>
      <w:r w:rsidR="004319CD">
        <w:rPr>
          <w:sz w:val="28"/>
          <w:szCs w:val="28"/>
        </w:rPr>
        <w:t>пер. Местный, 11/19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  <w:proofErr w:type="gramEnd"/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 xml:space="preserve">предусмотрено, что срок осуществления мероприятий по технологическому присоединению составляет не более </w:t>
      </w:r>
      <w:r w:rsidR="004319CD">
        <w:rPr>
          <w:sz w:val="28"/>
          <w:szCs w:val="28"/>
        </w:rPr>
        <w:t>4</w:t>
      </w:r>
      <w:r w:rsidRPr="00A14491">
        <w:rPr>
          <w:sz w:val="28"/>
          <w:szCs w:val="28"/>
        </w:rPr>
        <w:t xml:space="preserve">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», в нарушение положений </w:t>
      </w:r>
      <w:r w:rsidRPr="00F40DE3">
        <w:rPr>
          <w:sz w:val="28"/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 w:val="28"/>
          <w:szCs w:val="28"/>
        </w:rPr>
        <w:t>энергопринимающих</w:t>
      </w:r>
      <w:proofErr w:type="spellEnd"/>
      <w:r w:rsidRPr="00F40DE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сетям, утвержденных Постановлением Правительства РФ от 27.12.2004 N 861 (</w:t>
      </w:r>
      <w:r w:rsidRPr="009B7183">
        <w:rPr>
          <w:b/>
          <w:sz w:val="28"/>
          <w:szCs w:val="28"/>
        </w:rPr>
        <w:t xml:space="preserve">далее – Правила </w:t>
      </w:r>
      <w:r w:rsidR="009B7183" w:rsidRPr="009B7183">
        <w:rPr>
          <w:b/>
          <w:sz w:val="28"/>
          <w:szCs w:val="28"/>
        </w:rPr>
        <w:t>технологического присоединения</w:t>
      </w:r>
      <w:r>
        <w:rPr>
          <w:sz w:val="28"/>
          <w:szCs w:val="28"/>
        </w:rPr>
        <w:t>),  уклонилось от обязанности по составлению и выдаче акта разграничения балансовой принадлежности и эксплуатационной ответственности</w:t>
      </w:r>
      <w:proofErr w:type="gramEnd"/>
      <w:r>
        <w:rPr>
          <w:sz w:val="28"/>
          <w:szCs w:val="28"/>
        </w:rPr>
        <w:t xml:space="preserve"> сторон, а также документов подтверждающих технологическое присоединение объектов электросетевого хозяйства заявителя к электрической сети.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 w:rsidR="00E617E2">
        <w:rPr>
          <w:sz w:val="28"/>
          <w:szCs w:val="28"/>
        </w:rPr>
        <w:t>150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</w:t>
      </w:r>
      <w:r w:rsidRPr="001C6163">
        <w:rPr>
          <w:sz w:val="28"/>
          <w:szCs w:val="28"/>
        </w:rPr>
        <w:lastRenderedPageBreak/>
        <w:t>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 xml:space="preserve"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Pr="00D03EBE">
        <w:rPr>
          <w:sz w:val="28"/>
          <w:szCs w:val="28"/>
        </w:rPr>
        <w:lastRenderedPageBreak/>
        <w:t>настоящих Правил и наличии технической возможности технологического присоединения.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 – физических лиц, в случае технологического присоединения к электрическим сетям классом напряжения до 20кВ включительно, не может превышать </w:t>
      </w:r>
      <w:r w:rsidR="004319CD">
        <w:rPr>
          <w:sz w:val="28"/>
          <w:szCs w:val="28"/>
        </w:rPr>
        <w:t>4</w:t>
      </w:r>
      <w:r w:rsidRPr="00D03EBE">
        <w:rPr>
          <w:sz w:val="28"/>
          <w:szCs w:val="28"/>
        </w:rPr>
        <w:t xml:space="preserve"> месяцев.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4319CD" w:rsidRPr="00D03EBE" w:rsidRDefault="004319CD" w:rsidP="004319CD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4319CD" w:rsidRPr="00D03EBE" w:rsidRDefault="004319CD" w:rsidP="004319CD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4319CD" w:rsidRDefault="004319CD" w:rsidP="004319CD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4319CD" w:rsidRDefault="004319CD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осуществлении технологического присоединения к электрическим сетям  между заявителем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заключен 28.11.2014г.</w:t>
      </w:r>
    </w:p>
    <w:p w:rsidR="004319CD" w:rsidRDefault="004319CD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в срок до 28.03.2014г.</w:t>
      </w:r>
    </w:p>
    <w:p w:rsidR="004D0FF7" w:rsidRDefault="004D0FF7" w:rsidP="004D0FF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рассмотрения настоящего дела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не осуществлены.</w:t>
      </w:r>
    </w:p>
    <w:p w:rsidR="004D0FF7" w:rsidRDefault="004D0FF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6 Договора сетевая организация взяла на себя обязательство в течении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заявителя.</w:t>
      </w:r>
    </w:p>
    <w:p w:rsidR="004D0FF7" w:rsidRDefault="005F0C2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уведомление об исполнении технических условий заявителем было получено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05.12.2013г.</w:t>
      </w:r>
    </w:p>
    <w:p w:rsidR="005F0C27" w:rsidRDefault="005F0C2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нарушение условий Договора, осмотр электроустановок заявителя был произведен лишь 06.02.2014г. </w:t>
      </w:r>
    </w:p>
    <w:p w:rsidR="005F0C27" w:rsidRDefault="005F0C2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акта осмотра электроустановки № 247</w:t>
      </w:r>
      <w:r w:rsidR="00E617E2">
        <w:rPr>
          <w:sz w:val="28"/>
          <w:szCs w:val="28"/>
        </w:rPr>
        <w:t>2</w:t>
      </w:r>
      <w:r>
        <w:rPr>
          <w:sz w:val="28"/>
          <w:szCs w:val="28"/>
        </w:rPr>
        <w:t>/13/255</w:t>
      </w:r>
      <w:r w:rsidR="00E617E2">
        <w:rPr>
          <w:sz w:val="28"/>
          <w:szCs w:val="28"/>
        </w:rPr>
        <w:t>8</w:t>
      </w:r>
      <w:r>
        <w:rPr>
          <w:sz w:val="28"/>
          <w:szCs w:val="28"/>
        </w:rPr>
        <w:t xml:space="preserve">/РГЭС от 06.02.2014г. заявителем </w:t>
      </w:r>
      <w:r w:rsidR="003D656E" w:rsidRPr="003D656E">
        <w:rPr>
          <w:i/>
          <w:sz w:val="28"/>
          <w:szCs w:val="28"/>
        </w:rPr>
        <w:t>«</w:t>
      </w:r>
      <w:r w:rsidRPr="003D656E">
        <w:rPr>
          <w:i/>
          <w:sz w:val="28"/>
          <w:szCs w:val="28"/>
        </w:rPr>
        <w:t>не представлен проект электроснабжения (Основание</w:t>
      </w:r>
      <w:proofErr w:type="gramStart"/>
      <w:r w:rsidRPr="003D656E">
        <w:rPr>
          <w:i/>
          <w:sz w:val="28"/>
          <w:szCs w:val="28"/>
        </w:rPr>
        <w:t xml:space="preserve"> Т</w:t>
      </w:r>
      <w:proofErr w:type="gramEnd"/>
      <w:r w:rsidRPr="003D656E">
        <w:rPr>
          <w:i/>
          <w:sz w:val="28"/>
          <w:szCs w:val="28"/>
        </w:rPr>
        <w:t>ех. условия п.11), не представлен ы протоколы исп</w:t>
      </w:r>
      <w:r w:rsidR="007477BA">
        <w:rPr>
          <w:i/>
          <w:sz w:val="28"/>
          <w:szCs w:val="28"/>
        </w:rPr>
        <w:t>ы</w:t>
      </w:r>
      <w:r w:rsidRPr="003D656E">
        <w:rPr>
          <w:i/>
          <w:sz w:val="28"/>
          <w:szCs w:val="28"/>
        </w:rPr>
        <w:t xml:space="preserve">таний </w:t>
      </w:r>
      <w:r w:rsidRPr="003D656E">
        <w:rPr>
          <w:i/>
          <w:sz w:val="28"/>
          <w:szCs w:val="28"/>
        </w:rPr>
        <w:lastRenderedPageBreak/>
        <w:t>электрооборудования и электросетей (основание ПТЭЭП прил.3, п. 1.3.3, 1.3.4)</w:t>
      </w:r>
      <w:r w:rsidR="003D656E" w:rsidRPr="003D656E">
        <w:rPr>
          <w:i/>
          <w:sz w:val="28"/>
          <w:szCs w:val="28"/>
        </w:rPr>
        <w:t>»</w:t>
      </w:r>
      <w:r w:rsidR="003D656E">
        <w:rPr>
          <w:sz w:val="28"/>
          <w:szCs w:val="28"/>
        </w:rPr>
        <w:t>.</w:t>
      </w:r>
    </w:p>
    <w:p w:rsidR="003D656E" w:rsidRDefault="003D656E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нарушения</w:t>
      </w:r>
      <w:r w:rsidR="00AB28D9">
        <w:rPr>
          <w:sz w:val="28"/>
          <w:szCs w:val="28"/>
        </w:rPr>
        <w:t xml:space="preserve"> технических условий</w:t>
      </w:r>
      <w:r>
        <w:rPr>
          <w:sz w:val="28"/>
          <w:szCs w:val="28"/>
        </w:rPr>
        <w:t>, по мнению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», являются препятствием для осуществления мероприятий по технологическому присоединению заявителя.</w:t>
      </w:r>
    </w:p>
    <w:p w:rsidR="004C73F2" w:rsidRDefault="004C73F2" w:rsidP="004C73F2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пункт 25.1 </w:t>
      </w:r>
      <w:r>
        <w:rPr>
          <w:color w:val="000000"/>
          <w:sz w:val="28"/>
          <w:szCs w:val="28"/>
        </w:rPr>
        <w:t>Правил технологического присоединения не предполагает наличия в технических условиях для заявителей – физических лиц пункта, обязывающего заявителя выполнять какую – либо проектную документацию.</w:t>
      </w:r>
    </w:p>
    <w:p w:rsidR="004C73F2" w:rsidRPr="00BE6C8D" w:rsidRDefault="004C73F2" w:rsidP="004C73F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согласно пункту 18 Правил</w:t>
      </w:r>
      <w:r w:rsidR="00FF16F2">
        <w:rPr>
          <w:sz w:val="28"/>
          <w:szCs w:val="28"/>
        </w:rPr>
        <w:t xml:space="preserve"> технологического присоединения</w:t>
      </w:r>
      <w:r>
        <w:rPr>
          <w:sz w:val="28"/>
          <w:szCs w:val="28"/>
        </w:rPr>
        <w:t xml:space="preserve">, мероприятия по технологическому присоединению включают в себя разработку заявителем проектной документации в границах его земельного участка согласно обязательствам, предусмотренным техническими условиями, </w:t>
      </w:r>
      <w:r w:rsidRPr="00BE6C8D">
        <w:rPr>
          <w:sz w:val="28"/>
          <w:szCs w:val="28"/>
          <w:u w:val="single"/>
        </w:rPr>
        <w:t>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>
        <w:rPr>
          <w:sz w:val="28"/>
          <w:szCs w:val="28"/>
        </w:rPr>
        <w:t>.</w:t>
      </w:r>
    </w:p>
    <w:p w:rsidR="004C73F2" w:rsidRDefault="004C73F2" w:rsidP="004C73F2">
      <w:pPr>
        <w:widowControl/>
        <w:ind w:firstLine="708"/>
        <w:jc w:val="both"/>
        <w:rPr>
          <w:sz w:val="28"/>
          <w:szCs w:val="28"/>
        </w:rPr>
      </w:pPr>
      <w:r w:rsidRPr="00BE6C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статьи 48 Градостроительного кодекса Российской Федерации» от 29.12.2004 г. N 190-ФЗ, осуществление подготовки проектной документации не требуется при строительстве, реконструкции, 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семьи).</w:t>
      </w:r>
    </w:p>
    <w:p w:rsidR="00AB28D9" w:rsidRDefault="004C73F2" w:rsidP="004C73F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Вышеизложенное свидетельствует о том, что у </w:t>
      </w:r>
      <w:r w:rsidRPr="00F40DE3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FE7A0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Донэнерго</w:t>
      </w:r>
      <w:proofErr w:type="spellEnd"/>
      <w:r w:rsidRPr="00FE7A00">
        <w:rPr>
          <w:sz w:val="28"/>
          <w:szCs w:val="28"/>
        </w:rPr>
        <w:t>»</w:t>
      </w:r>
      <w:r>
        <w:rPr>
          <w:sz w:val="28"/>
          <w:szCs w:val="28"/>
        </w:rPr>
        <w:t xml:space="preserve"> отсутствуют правовые основания обязывать заявителя выполнять проект электроснабжения объекта капитального строительства, расположенного </w:t>
      </w:r>
      <w:r w:rsidRPr="00FE7A00">
        <w:rPr>
          <w:sz w:val="28"/>
          <w:szCs w:val="28"/>
        </w:rPr>
        <w:t xml:space="preserve">по адресу:  </w:t>
      </w:r>
      <w:r>
        <w:rPr>
          <w:sz w:val="28"/>
          <w:szCs w:val="28"/>
        </w:rPr>
        <w:t>г. Ростов – на – Дону, пер. Местный, 11/19.</w:t>
      </w:r>
    </w:p>
    <w:p w:rsidR="00AA0888" w:rsidRDefault="00E02F5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3"/>
      </w:r>
      <w:r w:rsidRPr="00D03EBE">
        <w:rPr>
          <w:color w:val="000000"/>
          <w:sz w:val="28"/>
          <w:szCs w:val="28"/>
        </w:rPr>
        <w:t>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 </w:t>
      </w:r>
      <w:r w:rsidRPr="00D03EBE">
        <w:rPr>
          <w:sz w:val="28"/>
          <w:szCs w:val="28"/>
        </w:rPr>
        <w:t>уклонившись от выполнения обязательств, предусмотренных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Default="00AA0888" w:rsidP="002F59C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4C73F2" w:rsidRDefault="004C73F2" w:rsidP="002F59C7">
      <w:pPr>
        <w:jc w:val="center"/>
        <w:rPr>
          <w:sz w:val="28"/>
          <w:szCs w:val="28"/>
        </w:rPr>
      </w:pPr>
    </w:p>
    <w:p w:rsidR="004C73F2" w:rsidRDefault="004C73F2" w:rsidP="002F59C7">
      <w:pPr>
        <w:jc w:val="center"/>
        <w:rPr>
          <w:sz w:val="28"/>
          <w:szCs w:val="28"/>
        </w:rPr>
      </w:pPr>
    </w:p>
    <w:p w:rsidR="00AA0888" w:rsidRDefault="00AA0888" w:rsidP="002F59C7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РЕШИЛА</w:t>
      </w:r>
    </w:p>
    <w:p w:rsidR="004C73F2" w:rsidRPr="00DF2A16" w:rsidRDefault="004C73F2" w:rsidP="002F59C7">
      <w:pPr>
        <w:jc w:val="center"/>
        <w:rPr>
          <w:sz w:val="28"/>
          <w:szCs w:val="28"/>
        </w:rPr>
      </w:pP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AA0888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483">
        <w:rPr>
          <w:sz w:val="28"/>
          <w:szCs w:val="28"/>
        </w:rPr>
        <w:t>Выдать ОАО «</w:t>
      </w:r>
      <w:proofErr w:type="spellStart"/>
      <w:r w:rsidR="00AE2483">
        <w:rPr>
          <w:sz w:val="28"/>
          <w:szCs w:val="28"/>
        </w:rPr>
        <w:t>Донэнерго</w:t>
      </w:r>
      <w:proofErr w:type="spellEnd"/>
      <w:r w:rsidR="00AE2483">
        <w:rPr>
          <w:sz w:val="28"/>
          <w:szCs w:val="28"/>
        </w:rPr>
        <w:t xml:space="preserve">» </w:t>
      </w:r>
      <w:r w:rsidR="002C357B">
        <w:rPr>
          <w:sz w:val="28"/>
          <w:szCs w:val="28"/>
        </w:rPr>
        <w:t>предписание об устранении нарушения антимонопольного законодательства.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4C47B7" w:rsidRDefault="00AA0888" w:rsidP="002F59C7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8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sectPr w:rsidR="004C47B7" w:rsidSect="00D20F70">
      <w:footerReference w:type="default" r:id="rId9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0F" w:rsidRDefault="0099510F" w:rsidP="00AA0888">
      <w:r>
        <w:separator/>
      </w:r>
    </w:p>
  </w:endnote>
  <w:endnote w:type="continuationSeparator" w:id="0">
    <w:p w:rsidR="0099510F" w:rsidRDefault="0099510F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4F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0F" w:rsidRDefault="0099510F" w:rsidP="00AA0888">
      <w:r>
        <w:separator/>
      </w:r>
    </w:p>
  </w:footnote>
  <w:footnote w:type="continuationSeparator" w:id="0">
    <w:p w:rsidR="0099510F" w:rsidRDefault="0099510F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1239F5"/>
    <w:rsid w:val="001C2606"/>
    <w:rsid w:val="002163B5"/>
    <w:rsid w:val="00261376"/>
    <w:rsid w:val="002727C5"/>
    <w:rsid w:val="002C1521"/>
    <w:rsid w:val="002C357B"/>
    <w:rsid w:val="002F527F"/>
    <w:rsid w:val="002F59C7"/>
    <w:rsid w:val="002F5AA9"/>
    <w:rsid w:val="0030718F"/>
    <w:rsid w:val="00315D2E"/>
    <w:rsid w:val="00334800"/>
    <w:rsid w:val="00366D8C"/>
    <w:rsid w:val="00370F9F"/>
    <w:rsid w:val="003D656E"/>
    <w:rsid w:val="004319CD"/>
    <w:rsid w:val="00460821"/>
    <w:rsid w:val="004C47B7"/>
    <w:rsid w:val="004C73F2"/>
    <w:rsid w:val="004D0FF7"/>
    <w:rsid w:val="00551B52"/>
    <w:rsid w:val="005C62FC"/>
    <w:rsid w:val="005D0872"/>
    <w:rsid w:val="005F0C27"/>
    <w:rsid w:val="00600D49"/>
    <w:rsid w:val="00602C2E"/>
    <w:rsid w:val="00685306"/>
    <w:rsid w:val="006E6095"/>
    <w:rsid w:val="006F700B"/>
    <w:rsid w:val="00710983"/>
    <w:rsid w:val="007477BA"/>
    <w:rsid w:val="007E79EC"/>
    <w:rsid w:val="007F4597"/>
    <w:rsid w:val="008451DE"/>
    <w:rsid w:val="00851339"/>
    <w:rsid w:val="008869A5"/>
    <w:rsid w:val="0089174D"/>
    <w:rsid w:val="008B57B6"/>
    <w:rsid w:val="008E7888"/>
    <w:rsid w:val="009879C9"/>
    <w:rsid w:val="0099510F"/>
    <w:rsid w:val="009B7183"/>
    <w:rsid w:val="00A67967"/>
    <w:rsid w:val="00AA0888"/>
    <w:rsid w:val="00AB28D9"/>
    <w:rsid w:val="00AE2483"/>
    <w:rsid w:val="00BD3FC1"/>
    <w:rsid w:val="00BF1203"/>
    <w:rsid w:val="00D07A53"/>
    <w:rsid w:val="00D80127"/>
    <w:rsid w:val="00DA6498"/>
    <w:rsid w:val="00E02F58"/>
    <w:rsid w:val="00E04341"/>
    <w:rsid w:val="00E14BCE"/>
    <w:rsid w:val="00E617E2"/>
    <w:rsid w:val="00F31D99"/>
    <w:rsid w:val="00F344F3"/>
    <w:rsid w:val="00F4663C"/>
    <w:rsid w:val="00F74AF5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BC64-39BF-4A47-8047-5E6B6141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31</cp:revision>
  <cp:lastPrinted>2014-07-15T11:04:00Z</cp:lastPrinted>
  <dcterms:created xsi:type="dcterms:W3CDTF">2014-07-14T07:24:00Z</dcterms:created>
  <dcterms:modified xsi:type="dcterms:W3CDTF">2014-07-15T11:04:00Z</dcterms:modified>
</cp:coreProperties>
</file>